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90ADC" w14:textId="77777777" w:rsidR="00915417" w:rsidRDefault="00915417" w:rsidP="00915417">
      <w:pPr>
        <w:pBdr>
          <w:top w:val="nil"/>
          <w:left w:val="nil"/>
          <w:bottom w:val="nil"/>
          <w:right w:val="nil"/>
          <w:between w:val="nil"/>
          <w:bar w:val="nil"/>
        </w:pBdr>
        <w:tabs>
          <w:tab w:val="left" w:pos="2127"/>
        </w:tabs>
        <w:ind w:left="1985"/>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p>
    <w:p w14:paraId="73919DAA" w14:textId="77777777" w:rsidR="00915417" w:rsidRDefault="00915417" w:rsidP="00915417">
      <w:pPr>
        <w:pBdr>
          <w:top w:val="nil"/>
          <w:left w:val="nil"/>
          <w:bottom w:val="nil"/>
          <w:right w:val="nil"/>
          <w:between w:val="nil"/>
          <w:bar w:val="nil"/>
        </w:pBdr>
        <w:tabs>
          <w:tab w:val="left" w:pos="2127"/>
        </w:tabs>
        <w:ind w:left="2127"/>
        <w:jc w:val="both"/>
        <w:rPr>
          <w:rFonts w:eastAsia="Arial Unicode MS" w:cs="Arial Unicode MS"/>
          <w:color w:val="000000"/>
          <w:sz w:val="20"/>
          <w:szCs w:val="20"/>
          <w:u w:color="000000"/>
          <w:bdr w:val="nil"/>
        </w:rPr>
      </w:pPr>
    </w:p>
    <w:p w14:paraId="2BB1060A" w14:textId="31826CB8" w:rsidR="00DD36A6" w:rsidRPr="00DD36A6" w:rsidRDefault="00DD36A6" w:rsidP="00915417">
      <w:pPr>
        <w:pBdr>
          <w:top w:val="nil"/>
          <w:left w:val="nil"/>
          <w:bottom w:val="nil"/>
          <w:right w:val="nil"/>
          <w:between w:val="nil"/>
          <w:bar w:val="nil"/>
        </w:pBdr>
        <w:tabs>
          <w:tab w:val="left" w:pos="2127"/>
        </w:tabs>
        <w:ind w:left="2127"/>
        <w:jc w:val="both"/>
        <w:rPr>
          <w:rFonts w:eastAsia="Arial Unicode MS" w:cs="Arial Unicode MS"/>
          <w:color w:val="000000"/>
          <w:sz w:val="20"/>
          <w:szCs w:val="20"/>
          <w:u w:color="000000"/>
          <w:bdr w:val="nil"/>
        </w:rPr>
      </w:pPr>
      <w:r w:rsidRPr="00DD36A6">
        <w:rPr>
          <w:rFonts w:eastAsia="Arial Unicode MS" w:cs="Arial Unicode MS"/>
          <w:color w:val="000000"/>
          <w:sz w:val="20"/>
          <w:szCs w:val="20"/>
          <w:u w:color="000000"/>
          <w:bdr w:val="nil"/>
        </w:rPr>
        <w:t>Comunicato stampa n. 26/2024</w:t>
      </w:r>
      <w:bookmarkEnd w:id="0"/>
    </w:p>
    <w:p w14:paraId="41417DBB" w14:textId="77777777" w:rsidR="00DD36A6" w:rsidRPr="00DD36A6" w:rsidRDefault="00DD36A6" w:rsidP="00915417">
      <w:pPr>
        <w:pBdr>
          <w:top w:val="nil"/>
          <w:left w:val="nil"/>
          <w:bottom w:val="nil"/>
          <w:right w:val="nil"/>
          <w:between w:val="nil"/>
          <w:bar w:val="nil"/>
        </w:pBdr>
        <w:tabs>
          <w:tab w:val="left" w:pos="2127"/>
        </w:tabs>
        <w:ind w:left="2127"/>
        <w:jc w:val="both"/>
        <w:rPr>
          <w:rFonts w:eastAsia="Arial Unicode MS" w:cs="Arial Unicode MS"/>
          <w:color w:val="000000"/>
          <w:sz w:val="2"/>
          <w:szCs w:val="2"/>
          <w:u w:color="000000"/>
          <w:bdr w:val="nil"/>
        </w:rPr>
      </w:pPr>
    </w:p>
    <w:p w14:paraId="08814F72" w14:textId="6C4DD955" w:rsidR="00DD36A6" w:rsidRPr="00DD36A6" w:rsidRDefault="00DD36A6" w:rsidP="00915417">
      <w:pPr>
        <w:pBdr>
          <w:top w:val="nil"/>
          <w:left w:val="nil"/>
          <w:bottom w:val="nil"/>
          <w:right w:val="nil"/>
          <w:between w:val="nil"/>
          <w:bar w:val="nil"/>
        </w:pBdr>
        <w:ind w:left="2127" w:right="-568"/>
        <w:jc w:val="both"/>
        <w:rPr>
          <w:rFonts w:eastAsia="Arial Unicode MS" w:cs="Arial Unicode MS"/>
          <w:color w:val="000000"/>
          <w:u w:color="000000"/>
          <w:bdr w:val="nil"/>
        </w:rPr>
      </w:pPr>
      <w:r w:rsidRPr="00DD36A6">
        <w:rPr>
          <w:rFonts w:eastAsia="Arial Unicode MS"/>
          <w:b/>
          <w:bCs/>
          <w:color w:val="000000"/>
          <w:u w:color="000000"/>
          <w:bdr w:val="nil"/>
        </w:rPr>
        <w:t>Macchine agricole: mercati in calo, in attesa di una ripresa</w:t>
      </w:r>
    </w:p>
    <w:p w14:paraId="63D17A17" w14:textId="77777777" w:rsidR="00DD36A6" w:rsidRPr="00DD36A6" w:rsidRDefault="00DD36A6" w:rsidP="00915417">
      <w:pPr>
        <w:pBdr>
          <w:top w:val="nil"/>
          <w:left w:val="nil"/>
          <w:bottom w:val="nil"/>
          <w:right w:val="nil"/>
          <w:between w:val="nil"/>
          <w:bar w:val="nil"/>
        </w:pBdr>
        <w:ind w:left="2127" w:right="-568"/>
        <w:jc w:val="both"/>
        <w:rPr>
          <w:rFonts w:eastAsia="Arial Unicode MS"/>
          <w:color w:val="000000"/>
          <w:sz w:val="2"/>
          <w:szCs w:val="2"/>
          <w:u w:color="000000"/>
          <w:bdr w:val="nil"/>
        </w:rPr>
      </w:pPr>
    </w:p>
    <w:p w14:paraId="7645AE9A" w14:textId="77777777" w:rsidR="00DD36A6" w:rsidRDefault="00DD36A6" w:rsidP="00915417">
      <w:pPr>
        <w:pBdr>
          <w:top w:val="nil"/>
          <w:left w:val="nil"/>
          <w:bottom w:val="nil"/>
          <w:right w:val="nil"/>
          <w:between w:val="nil"/>
          <w:bar w:val="nil"/>
        </w:pBdr>
        <w:ind w:left="2127" w:right="-568"/>
        <w:jc w:val="both"/>
        <w:rPr>
          <w:rFonts w:eastAsia="Arial Unicode MS"/>
          <w:b/>
          <w:bCs/>
          <w:i/>
          <w:iCs/>
          <w:color w:val="000000"/>
          <w:sz w:val="23"/>
          <w:szCs w:val="23"/>
          <w:u w:color="000000"/>
          <w:bdr w:val="nil"/>
        </w:rPr>
      </w:pPr>
      <w:r w:rsidRPr="00DD36A6">
        <w:rPr>
          <w:rFonts w:eastAsia="Arial Unicode MS"/>
          <w:b/>
          <w:bCs/>
          <w:i/>
          <w:iCs/>
          <w:color w:val="000000"/>
          <w:sz w:val="23"/>
          <w:szCs w:val="23"/>
          <w:u w:color="000000"/>
          <w:bdr w:val="nil"/>
        </w:rPr>
        <w:t>L’andamento poco favorevole dei settori agricolo e industriale frenano, nei primi sei mesi del 2024, le vendite di trattrici sul mercato internazionale, che registra un calo complessivo del 12% rispetto allo stesso periodo del 2023. Per il prosieguo dell’anno non sono previste inversioni di tendenza. La flessione dovuta a fattori di natura congiunturale, non ad un calo del fabbisogno di tecnologie, spinto da un’agricoltura in costante sviluppo. Conciliare produttività e sostenibilità l’obiettivo prioritario.</w:t>
      </w:r>
    </w:p>
    <w:p w14:paraId="686CDF9E" w14:textId="77777777" w:rsidR="00915417" w:rsidRPr="00DD36A6" w:rsidRDefault="00915417" w:rsidP="00915417">
      <w:pPr>
        <w:pBdr>
          <w:top w:val="nil"/>
          <w:left w:val="nil"/>
          <w:bottom w:val="nil"/>
          <w:right w:val="nil"/>
          <w:between w:val="nil"/>
          <w:bar w:val="nil"/>
        </w:pBdr>
        <w:ind w:left="2127" w:right="-568"/>
        <w:jc w:val="both"/>
        <w:rPr>
          <w:rFonts w:eastAsia="Arial Unicode MS"/>
          <w:b/>
          <w:bCs/>
          <w:i/>
          <w:iCs/>
          <w:color w:val="000000"/>
          <w:sz w:val="23"/>
          <w:szCs w:val="23"/>
          <w:u w:color="000000"/>
          <w:bdr w:val="nil"/>
        </w:rPr>
      </w:pPr>
    </w:p>
    <w:p w14:paraId="6A483983" w14:textId="77777777" w:rsidR="00DD36A6" w:rsidRPr="00DD36A6" w:rsidRDefault="00DD36A6" w:rsidP="00915417">
      <w:pPr>
        <w:pBdr>
          <w:top w:val="nil"/>
          <w:left w:val="nil"/>
          <w:bottom w:val="nil"/>
          <w:right w:val="nil"/>
          <w:between w:val="nil"/>
          <w:bar w:val="nil"/>
        </w:pBdr>
        <w:ind w:left="2127" w:right="-568"/>
        <w:jc w:val="both"/>
        <w:rPr>
          <w:rFonts w:eastAsia="Arial Unicode MS"/>
          <w:i/>
          <w:iCs/>
          <w:color w:val="000000"/>
          <w:sz w:val="2"/>
          <w:szCs w:val="2"/>
          <w:u w:color="000000"/>
          <w:bdr w:val="nil"/>
        </w:rPr>
      </w:pPr>
    </w:p>
    <w:p w14:paraId="6FD34242" w14:textId="77777777" w:rsidR="00DD36A6" w:rsidRPr="00915417" w:rsidRDefault="00DD36A6" w:rsidP="00915417">
      <w:pPr>
        <w:pBdr>
          <w:top w:val="nil"/>
          <w:left w:val="nil"/>
          <w:bottom w:val="nil"/>
          <w:right w:val="nil"/>
          <w:between w:val="nil"/>
          <w:bar w:val="nil"/>
        </w:pBdr>
        <w:ind w:left="2127" w:right="-568"/>
        <w:jc w:val="both"/>
        <w:rPr>
          <w:rFonts w:eastAsia="Arial Unicode MS"/>
          <w:color w:val="000000"/>
          <w:sz w:val="21"/>
          <w:szCs w:val="21"/>
          <w:u w:color="000000"/>
          <w:bdr w:val="nil"/>
        </w:rPr>
      </w:pPr>
      <w:r w:rsidRPr="00915417">
        <w:rPr>
          <w:rFonts w:eastAsia="Arial Unicode MS"/>
          <w:color w:val="000000"/>
          <w:sz w:val="21"/>
          <w:szCs w:val="21"/>
          <w:u w:color="000000"/>
          <w:bdr w:val="nil"/>
        </w:rPr>
        <w:t>Il settore della meccanica agricola risente in modo diretto delle variabili che condizionano sia l’economia industriale che quella agricola. Nell’anno passato e nell’anno in corso l’andamento del settore industriale è stato influenzato dal costo elevato delle materie prime e delle forniture energetiche - legato a fattori geopolitici e alla guerra in Medioriente - mentre le politiche monetarie restrittive messe in atto per contenere l’inflazione hanno ridotto l’accesso al credito e rallentato gli investimenti.</w:t>
      </w:r>
    </w:p>
    <w:p w14:paraId="16A1DEDB" w14:textId="77777777" w:rsidR="00DD36A6" w:rsidRPr="00915417" w:rsidRDefault="00DD36A6" w:rsidP="00915417">
      <w:pPr>
        <w:pBdr>
          <w:top w:val="nil"/>
          <w:left w:val="nil"/>
          <w:bottom w:val="nil"/>
          <w:right w:val="nil"/>
          <w:between w:val="nil"/>
          <w:bar w:val="nil"/>
        </w:pBdr>
        <w:ind w:left="2127" w:right="-568"/>
        <w:jc w:val="both"/>
        <w:rPr>
          <w:rFonts w:eastAsia="Arial Unicode MS"/>
          <w:color w:val="000000"/>
          <w:sz w:val="21"/>
          <w:szCs w:val="21"/>
          <w:u w:color="000000"/>
          <w:bdr w:val="nil"/>
        </w:rPr>
      </w:pPr>
      <w:r w:rsidRPr="00915417">
        <w:rPr>
          <w:rFonts w:eastAsia="Arial Unicode MS"/>
          <w:color w:val="000000"/>
          <w:sz w:val="21"/>
          <w:szCs w:val="21"/>
          <w:u w:color="000000"/>
          <w:bdr w:val="nil"/>
        </w:rPr>
        <w:t xml:space="preserve">Nello stesso tempo, l’economia agricola non vede un significativo miglioramento in termini di produzione e di redditività. L’annata agraria 2024-25 dovrebbe confermare per i cereali i volumi della precedente (-0,05%), con incrementi di produzione in Australia (grano), negli USA (mais) e in India (riso), ma con un calo generalizzato dell’Europa (-7%) dovuto a condizioni meteorologiche non favorevoli. Nel 2024 un incremento contenuto (+0,7%) ha invece registrato la produzione mondiale di carne, spinta da Sud America e Oceania che hanno compensato i cali di Cina, Nordamerica ed Europa. </w:t>
      </w:r>
    </w:p>
    <w:p w14:paraId="5AEF3B38" w14:textId="77777777" w:rsidR="00DD36A6" w:rsidRPr="00915417" w:rsidRDefault="00DD36A6" w:rsidP="00915417">
      <w:pPr>
        <w:pBdr>
          <w:top w:val="nil"/>
          <w:left w:val="nil"/>
          <w:bottom w:val="nil"/>
          <w:right w:val="nil"/>
          <w:between w:val="nil"/>
          <w:bar w:val="nil"/>
        </w:pBdr>
        <w:ind w:left="2127" w:right="-568"/>
        <w:jc w:val="both"/>
        <w:rPr>
          <w:rFonts w:eastAsia="Arial Unicode MS"/>
          <w:color w:val="000000"/>
          <w:sz w:val="21"/>
          <w:szCs w:val="21"/>
          <w:u w:color="000000"/>
          <w:bdr w:val="nil"/>
        </w:rPr>
      </w:pPr>
      <w:r w:rsidRPr="00915417">
        <w:rPr>
          <w:rFonts w:eastAsia="Arial Unicode MS"/>
          <w:color w:val="000000"/>
          <w:sz w:val="21"/>
          <w:szCs w:val="21"/>
          <w:u w:color="000000"/>
          <w:bdr w:val="nil"/>
        </w:rPr>
        <w:t xml:space="preserve">La congiuntura che ha caratterizzato l’andamento dei settori agricolo e industriale ha influito sul mercato </w:t>
      </w:r>
      <w:proofErr w:type="spellStart"/>
      <w:r w:rsidRPr="00915417">
        <w:rPr>
          <w:rFonts w:eastAsia="Arial Unicode MS"/>
          <w:color w:val="000000"/>
          <w:sz w:val="21"/>
          <w:szCs w:val="21"/>
          <w:u w:color="000000"/>
          <w:bdr w:val="nil"/>
        </w:rPr>
        <w:t>agromeccanico</w:t>
      </w:r>
      <w:proofErr w:type="spellEnd"/>
      <w:r w:rsidRPr="00915417">
        <w:rPr>
          <w:rFonts w:eastAsia="Arial Unicode MS"/>
          <w:color w:val="000000"/>
          <w:sz w:val="21"/>
          <w:szCs w:val="21"/>
          <w:u w:color="000000"/>
          <w:bdr w:val="nil"/>
        </w:rPr>
        <w:t xml:space="preserve"> globale. Il costo crescente dei mezzi meccanici – questo lo scenario delineato da FederUnacoma nel pomeriggio di oggi a Bologna, in occasione della conferenza stampa di presentazione di EIMA International – combinato con la difficoltà di accesso al credito e con un andamento del settore primario non favorevole ha infatti determinato una riduzione degli investimenti per l’acquisto di nuove tecnologie.</w:t>
      </w:r>
    </w:p>
    <w:p w14:paraId="26BFAE02" w14:textId="77777777" w:rsidR="00DD36A6" w:rsidRPr="00915417" w:rsidRDefault="00DD36A6" w:rsidP="00915417">
      <w:pPr>
        <w:pBdr>
          <w:top w:val="nil"/>
          <w:left w:val="nil"/>
          <w:bottom w:val="nil"/>
          <w:right w:val="nil"/>
          <w:between w:val="nil"/>
          <w:bar w:val="nil"/>
        </w:pBdr>
        <w:ind w:left="2127" w:right="-568"/>
        <w:jc w:val="both"/>
        <w:rPr>
          <w:rFonts w:eastAsia="Arial Unicode MS"/>
          <w:color w:val="000000"/>
          <w:sz w:val="21"/>
          <w:szCs w:val="21"/>
          <w:u w:color="000000"/>
          <w:bdr w:val="nil"/>
        </w:rPr>
      </w:pPr>
      <w:r w:rsidRPr="00915417">
        <w:rPr>
          <w:rFonts w:eastAsia="Arial Unicode MS"/>
          <w:color w:val="000000"/>
          <w:sz w:val="21"/>
          <w:szCs w:val="21"/>
          <w:u w:color="000000"/>
          <w:bdr w:val="nil"/>
        </w:rPr>
        <w:t xml:space="preserve">I dati di </w:t>
      </w:r>
      <w:proofErr w:type="spellStart"/>
      <w:r w:rsidRPr="00915417">
        <w:rPr>
          <w:rFonts w:eastAsia="Arial Unicode MS"/>
          <w:color w:val="000000"/>
          <w:sz w:val="21"/>
          <w:szCs w:val="21"/>
          <w:u w:color="000000"/>
          <w:bdr w:val="nil"/>
        </w:rPr>
        <w:t>Agrievolution</w:t>
      </w:r>
      <w:proofErr w:type="spellEnd"/>
      <w:r w:rsidRPr="00915417">
        <w:rPr>
          <w:rFonts w:eastAsia="Arial Unicode MS"/>
          <w:color w:val="000000"/>
          <w:sz w:val="21"/>
          <w:szCs w:val="21"/>
          <w:u w:color="000000"/>
          <w:bdr w:val="nil"/>
        </w:rPr>
        <w:t>, l’organismo che raggruppa le associazioni di costruttori dei principali Paesi, indicano nei primi sei mesi dell’anno per le trattrici, una flessione delle vendite complessive pari al 12% rispetto al primo semestre del 2023. A perdere terreno sono tutti i mercati di riferimento. L’India, che negli anni scorsi aveva registrato un trend incrementale pressoché ininterrotto, cala del 10% così come la Cina, mentre gli Stati Uniti arretrano del 12%. Segno meno anche per l’Europa Occidentale, dove perdono terreno sia pure in misura diversa i due principali mercati nazionali, quello francese (-8%) e quello tedesco (-1%). Cali vistosi si registrano in Canada (-16%), Giappone (-28%), Russia (-32%) e Turchia (-20%).</w:t>
      </w:r>
    </w:p>
    <w:p w14:paraId="22835453" w14:textId="77777777" w:rsidR="00DD36A6" w:rsidRPr="00915417" w:rsidRDefault="00DD36A6" w:rsidP="00915417">
      <w:pPr>
        <w:pBdr>
          <w:top w:val="nil"/>
          <w:left w:val="nil"/>
          <w:bottom w:val="nil"/>
          <w:right w:val="nil"/>
          <w:between w:val="nil"/>
          <w:bar w:val="nil"/>
        </w:pBdr>
        <w:ind w:left="2127" w:right="-568"/>
        <w:jc w:val="both"/>
        <w:rPr>
          <w:rFonts w:eastAsia="Arial Unicode MS"/>
          <w:color w:val="000000"/>
          <w:sz w:val="21"/>
          <w:szCs w:val="21"/>
          <w:u w:color="000000"/>
          <w:bdr w:val="nil"/>
        </w:rPr>
      </w:pPr>
      <w:r w:rsidRPr="00915417">
        <w:rPr>
          <w:rFonts w:eastAsia="Arial Unicode MS"/>
          <w:color w:val="000000"/>
          <w:sz w:val="21"/>
          <w:szCs w:val="21"/>
          <w:u w:color="000000"/>
          <w:bdr w:val="nil"/>
        </w:rPr>
        <w:t>La seconda parte del 2024 non dovrebbe vedere significative inversioni di tendenza, sicché per fine anno si prevede un bilancio complessivo in rosso, con un totale di trattrici vendute nel mondo non superiore alle 2 milioni di unità. Questo rappresenterebbe il livello più basso dal 2016, giacché - è stato spiegato nel corso della conferenza - nel periodo 2017-2023 il numero delle trattrici vendute a livello globale è stato in media pari a 2,2 milioni di unità, con picchi di vendite nel 2021 (2,5 milioni) e nel 2022 (2,4 milioni).</w:t>
      </w:r>
    </w:p>
    <w:p w14:paraId="2346C693" w14:textId="77777777" w:rsidR="00DD36A6" w:rsidRPr="00915417" w:rsidRDefault="00DD36A6" w:rsidP="00915417">
      <w:pPr>
        <w:pBdr>
          <w:top w:val="nil"/>
          <w:left w:val="nil"/>
          <w:bottom w:val="nil"/>
          <w:right w:val="nil"/>
          <w:between w:val="nil"/>
          <w:bar w:val="nil"/>
        </w:pBdr>
        <w:ind w:left="2127" w:right="-568"/>
        <w:jc w:val="both"/>
        <w:rPr>
          <w:rFonts w:eastAsia="Arial Unicode MS"/>
          <w:color w:val="000000"/>
          <w:sz w:val="21"/>
          <w:szCs w:val="21"/>
          <w:u w:color="000000"/>
          <w:bdr w:val="nil"/>
        </w:rPr>
      </w:pPr>
      <w:r w:rsidRPr="00915417">
        <w:rPr>
          <w:rFonts w:eastAsia="Arial Unicode MS"/>
          <w:color w:val="000000"/>
          <w:sz w:val="21"/>
          <w:szCs w:val="21"/>
          <w:u w:color="000000"/>
          <w:bdr w:val="nil"/>
        </w:rPr>
        <w:t>Tuttavia, la contrazione del mercato globale registrata lo scorso anno e nel primo semestre di questo è attribuibile più a fattori di natura congiunturale che non ad una reale flessione della domanda mondiale. “In un prospettiva di medio e lungo periodo il fabbisogno di tecnologie agricole per il settore primario è destinato a crescere, spinto da un’agricoltura in costante sviluppo - ha spiegato la Presidente di FederUnacoma Mariateresa Maschio - e l’incremento della popolazione globale, che è stimata in 10 miliardi di persone entro il 2050, renderà necessario incrementare la produzione agricola del 50% rispetto ai livelli attuali”.</w:t>
      </w:r>
    </w:p>
    <w:p w14:paraId="6D3CC7BF" w14:textId="77777777" w:rsidR="00DD36A6" w:rsidRPr="00915417" w:rsidRDefault="00DD36A6" w:rsidP="00915417">
      <w:pPr>
        <w:pBdr>
          <w:top w:val="nil"/>
          <w:left w:val="nil"/>
          <w:bottom w:val="nil"/>
          <w:right w:val="nil"/>
          <w:between w:val="nil"/>
          <w:bar w:val="nil"/>
        </w:pBdr>
        <w:ind w:left="2127" w:right="-568"/>
        <w:jc w:val="both"/>
        <w:rPr>
          <w:rFonts w:eastAsia="Arial Unicode MS"/>
          <w:color w:val="000000"/>
          <w:sz w:val="21"/>
          <w:szCs w:val="21"/>
          <w:u w:color="000000"/>
          <w:bdr w:val="nil"/>
        </w:rPr>
      </w:pPr>
      <w:r w:rsidRPr="00915417">
        <w:rPr>
          <w:rFonts w:eastAsia="Arial Unicode MS"/>
          <w:color w:val="000000"/>
          <w:sz w:val="21"/>
          <w:szCs w:val="21"/>
          <w:u w:color="000000"/>
          <w:bdr w:val="nil"/>
        </w:rPr>
        <w:t xml:space="preserve">“Il settore della meccanica agricola – ha sottolineato la presidente di FederUnacoma - si trova dunque ad affrontare una sfida cruciale, non solo sotto il profilo dell’incremento delle rese produttive, ma sotto quello della sostenibilità”. “Il comparto </w:t>
      </w:r>
      <w:proofErr w:type="spellStart"/>
      <w:r w:rsidRPr="00915417">
        <w:rPr>
          <w:rFonts w:eastAsia="Arial Unicode MS"/>
          <w:color w:val="000000"/>
          <w:sz w:val="21"/>
          <w:szCs w:val="21"/>
          <w:u w:color="000000"/>
          <w:bdr w:val="nil"/>
        </w:rPr>
        <w:t>agromeccanico</w:t>
      </w:r>
      <w:proofErr w:type="spellEnd"/>
      <w:r w:rsidRPr="00915417">
        <w:rPr>
          <w:rFonts w:eastAsia="Arial Unicode MS"/>
          <w:color w:val="000000"/>
          <w:sz w:val="21"/>
          <w:szCs w:val="21"/>
          <w:u w:color="000000"/>
          <w:bdr w:val="nil"/>
        </w:rPr>
        <w:t xml:space="preserve"> deve produrre tecnologie che - ha concluso Mariateresa Maschio - si adattino ai più diversi contesti ambientali e climatici, e che supportino l’agricoltura nella soluzione dei problemi legati alla carenza di risorse idriche e alla perdita di fertilità dei terreni”.</w:t>
      </w:r>
    </w:p>
    <w:p w14:paraId="2681B722" w14:textId="77777777" w:rsidR="00915417" w:rsidRDefault="00915417" w:rsidP="00915417">
      <w:pPr>
        <w:pBdr>
          <w:top w:val="nil"/>
          <w:left w:val="nil"/>
          <w:bottom w:val="nil"/>
          <w:right w:val="nil"/>
          <w:between w:val="nil"/>
          <w:bar w:val="nil"/>
        </w:pBdr>
        <w:tabs>
          <w:tab w:val="left" w:pos="2127"/>
        </w:tabs>
        <w:ind w:right="-150"/>
        <w:jc w:val="both"/>
        <w:rPr>
          <w:rFonts w:eastAsia="Arial Unicode MS" w:cs="Arial Unicode MS"/>
          <w:b/>
          <w:bCs/>
          <w:i/>
          <w:iCs/>
          <w:color w:val="000000"/>
          <w:sz w:val="23"/>
          <w:szCs w:val="23"/>
          <w:u w:color="000000"/>
          <w:bdr w:val="nil"/>
        </w:rPr>
      </w:pPr>
      <w:r>
        <w:rPr>
          <w:rFonts w:eastAsia="Arial Unicode MS" w:cs="Arial Unicode MS"/>
          <w:b/>
          <w:bCs/>
          <w:i/>
          <w:iCs/>
          <w:color w:val="000000"/>
          <w:sz w:val="23"/>
          <w:szCs w:val="23"/>
          <w:u w:color="000000"/>
          <w:bdr w:val="nil"/>
        </w:rPr>
        <w:t xml:space="preserve">                                       </w:t>
      </w:r>
    </w:p>
    <w:p w14:paraId="372C8417" w14:textId="54F46256" w:rsidR="00774B84" w:rsidRPr="00915417" w:rsidRDefault="00915417" w:rsidP="00915417">
      <w:pPr>
        <w:pBdr>
          <w:top w:val="nil"/>
          <w:left w:val="nil"/>
          <w:bottom w:val="nil"/>
          <w:right w:val="nil"/>
          <w:between w:val="nil"/>
          <w:bar w:val="nil"/>
        </w:pBdr>
        <w:tabs>
          <w:tab w:val="left" w:pos="2127"/>
        </w:tabs>
        <w:ind w:right="-150"/>
        <w:jc w:val="both"/>
        <w:rPr>
          <w:rFonts w:eastAsia="Arial Unicode MS"/>
          <w:b/>
          <w:bCs/>
          <w:i/>
          <w:iCs/>
          <w:color w:val="000000"/>
          <w:sz w:val="23"/>
          <w:szCs w:val="23"/>
          <w:u w:color="000000"/>
          <w:bdr w:val="nil"/>
          <w:lang w:val="en-US"/>
        </w:rPr>
      </w:pPr>
      <w:r>
        <w:rPr>
          <w:rFonts w:eastAsia="Arial Unicode MS" w:cs="Arial Unicode MS"/>
          <w:b/>
          <w:bCs/>
          <w:i/>
          <w:iCs/>
          <w:color w:val="000000"/>
          <w:sz w:val="23"/>
          <w:szCs w:val="23"/>
          <w:u w:color="000000"/>
          <w:bdr w:val="nil"/>
          <w:lang w:val="en-US"/>
        </w:rPr>
        <w:t xml:space="preserve">                                     </w:t>
      </w:r>
      <w:r w:rsidR="00DD36A6" w:rsidRPr="00DD36A6">
        <w:rPr>
          <w:rFonts w:eastAsia="Arial Unicode MS" w:cs="Arial Unicode MS"/>
          <w:b/>
          <w:bCs/>
          <w:i/>
          <w:iCs/>
          <w:color w:val="000000"/>
          <w:sz w:val="23"/>
          <w:szCs w:val="23"/>
          <w:u w:color="000000"/>
          <w:bdr w:val="nil"/>
          <w:lang w:val="en-US"/>
        </w:rPr>
        <w:t xml:space="preserve">Bologna, 5 </w:t>
      </w:r>
      <w:proofErr w:type="spellStart"/>
      <w:r w:rsidR="00DD36A6" w:rsidRPr="00DD36A6">
        <w:rPr>
          <w:rFonts w:eastAsia="Arial Unicode MS" w:cs="Arial Unicode MS"/>
          <w:b/>
          <w:bCs/>
          <w:i/>
          <w:iCs/>
          <w:color w:val="000000"/>
          <w:sz w:val="23"/>
          <w:szCs w:val="23"/>
          <w:u w:color="000000"/>
          <w:bdr w:val="nil"/>
          <w:lang w:val="en-US"/>
        </w:rPr>
        <w:t>novembre</w:t>
      </w:r>
      <w:proofErr w:type="spellEnd"/>
      <w:r w:rsidR="00DD36A6" w:rsidRPr="00DD36A6">
        <w:rPr>
          <w:rFonts w:eastAsia="Arial Unicode MS" w:cs="Arial Unicode MS"/>
          <w:b/>
          <w:bCs/>
          <w:i/>
          <w:iCs/>
          <w:color w:val="000000"/>
          <w:sz w:val="23"/>
          <w:szCs w:val="23"/>
          <w:u w:color="000000"/>
          <w:bdr w:val="nil"/>
          <w:lang w:val="en-US"/>
        </w:rPr>
        <w:t xml:space="preserve"> 2024</w:t>
      </w:r>
    </w:p>
    <w:sectPr w:rsidR="00774B84" w:rsidRPr="00915417" w:rsidSect="00915417">
      <w:headerReference w:type="default" r:id="rId6"/>
      <w:pgSz w:w="11906" w:h="16838" w:code="9"/>
      <w:pgMar w:top="1418" w:right="1134" w:bottom="709"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AAC9F" w14:textId="77777777" w:rsidR="008A4ED0" w:rsidRDefault="008A4ED0">
      <w:r>
        <w:separator/>
      </w:r>
    </w:p>
  </w:endnote>
  <w:endnote w:type="continuationSeparator" w:id="0">
    <w:p w14:paraId="030DC23B" w14:textId="77777777" w:rsidR="008A4ED0" w:rsidRDefault="008A4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78FD2" w14:textId="77777777" w:rsidR="008A4ED0" w:rsidRDefault="008A4ED0">
      <w:r>
        <w:separator/>
      </w:r>
    </w:p>
  </w:footnote>
  <w:footnote w:type="continuationSeparator" w:id="0">
    <w:p w14:paraId="5BAE1F43" w14:textId="77777777" w:rsidR="008A4ED0" w:rsidRDefault="008A4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EDED" w14:textId="77777777" w:rsidR="00774B84" w:rsidRDefault="002D6176">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755806235" name="Immagine 1755806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C42E5"/>
    <w:rsid w:val="00132C83"/>
    <w:rsid w:val="001E4BD1"/>
    <w:rsid w:val="001F54A2"/>
    <w:rsid w:val="002D6176"/>
    <w:rsid w:val="0038239F"/>
    <w:rsid w:val="00392F74"/>
    <w:rsid w:val="00455C8D"/>
    <w:rsid w:val="006E2603"/>
    <w:rsid w:val="00725234"/>
    <w:rsid w:val="00774B84"/>
    <w:rsid w:val="008A4ED0"/>
    <w:rsid w:val="00915417"/>
    <w:rsid w:val="00A676B9"/>
    <w:rsid w:val="00AE5CFA"/>
    <w:rsid w:val="00CF1420"/>
    <w:rsid w:val="00CF5BC8"/>
    <w:rsid w:val="00DC159E"/>
    <w:rsid w:val="00DD36A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715</Words>
  <Characters>4081</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4787</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Mondo Macchina</cp:lastModifiedBy>
  <cp:revision>3</cp:revision>
  <cp:lastPrinted>2010-11-23T10:21:00Z</cp:lastPrinted>
  <dcterms:created xsi:type="dcterms:W3CDTF">2024-11-04T17:15:00Z</dcterms:created>
  <dcterms:modified xsi:type="dcterms:W3CDTF">2024-11-04T17:18:00Z</dcterms:modified>
</cp:coreProperties>
</file>